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132EC">
      <w:pPr>
        <w:jc w:val="center"/>
        <w:rPr>
          <w:rFonts w:ascii="Arial" w:hAnsi="Arial" w:cs="Arial"/>
          <w:b/>
          <w:sz w:val="24"/>
          <w:szCs w:val="24"/>
        </w:rPr>
      </w:pPr>
      <w:bookmarkStart w:id="0" w:name="_GoBack"/>
      <w:bookmarkEnd w:id="0"/>
      <w:r>
        <w:rPr>
          <w:rFonts w:ascii="Arial" w:hAnsi="Arial" w:cs="Arial"/>
          <w:b/>
          <w:sz w:val="24"/>
          <w:szCs w:val="24"/>
        </w:rPr>
        <w:t>MINUTES OF THE 598</w:t>
      </w:r>
      <w:r>
        <w:rPr>
          <w:rFonts w:ascii="Arial" w:hAnsi="Arial" w:cs="Arial"/>
          <w:b/>
          <w:sz w:val="24"/>
          <w:szCs w:val="24"/>
          <w:vertAlign w:val="superscript"/>
        </w:rPr>
        <w:t>TH</w:t>
      </w:r>
      <w:r>
        <w:rPr>
          <w:rFonts w:ascii="Arial" w:hAnsi="Arial" w:cs="Arial"/>
          <w:b/>
          <w:sz w:val="24"/>
          <w:szCs w:val="24"/>
        </w:rPr>
        <w:t xml:space="preserve"> KENLEY AND DISTRICT RESIDENTS’ MEETING held on Tuesday 14</w:t>
      </w:r>
      <w:r>
        <w:rPr>
          <w:rFonts w:ascii="Arial" w:hAnsi="Arial" w:cs="Arial"/>
          <w:b/>
          <w:sz w:val="24"/>
          <w:szCs w:val="24"/>
          <w:vertAlign w:val="superscript"/>
        </w:rPr>
        <w:t>th</w:t>
      </w:r>
      <w:r>
        <w:rPr>
          <w:rFonts w:ascii="Arial" w:hAnsi="Arial" w:cs="Arial"/>
          <w:b/>
          <w:sz w:val="24"/>
          <w:szCs w:val="24"/>
        </w:rPr>
        <w:t xml:space="preserve"> May 2024 at Kenley Memorial Hall at 7.30 p.m.</w:t>
      </w:r>
    </w:p>
    <w:p w14:paraId="346F8042">
      <w:pPr>
        <w:spacing w:after="0" w:line="240" w:lineRule="auto"/>
        <w:jc w:val="both"/>
        <w:rPr>
          <w:rFonts w:ascii="Arial" w:hAnsi="Arial" w:cs="Arial"/>
          <w:b/>
          <w:sz w:val="24"/>
          <w:szCs w:val="24"/>
        </w:rPr>
      </w:pPr>
      <w:r>
        <w:rPr>
          <w:rFonts w:ascii="Arial" w:hAnsi="Arial" w:cs="Arial"/>
          <w:b/>
          <w:sz w:val="24"/>
          <w:szCs w:val="24"/>
        </w:rPr>
        <w:t>Present: Christine Heal (CH): Tony Heal (TH); Geoff James (GJ); Tony Avery (TA); Mike Lott (ML); Stella Stocker (SS); Linda Richman (LR). Paul Keating, remotely (PK)</w:t>
      </w:r>
    </w:p>
    <w:p w14:paraId="4730980B">
      <w:pPr>
        <w:spacing w:after="0" w:line="240" w:lineRule="auto"/>
        <w:jc w:val="both"/>
        <w:rPr>
          <w:rFonts w:ascii="Arial" w:hAnsi="Arial" w:cs="Arial"/>
          <w:b/>
          <w:sz w:val="24"/>
          <w:szCs w:val="24"/>
        </w:rPr>
      </w:pPr>
      <w:r>
        <w:rPr>
          <w:rFonts w:ascii="Arial" w:hAnsi="Arial" w:cs="Arial"/>
          <w:b/>
          <w:sz w:val="24"/>
          <w:szCs w:val="24"/>
        </w:rPr>
        <w:t>Apologies: John Davenport (JD), Angela Morrison (AM), Dawn Bennett (DB); Ola Kolade (OK)</w:t>
      </w:r>
    </w:p>
    <w:p w14:paraId="3A6777AE">
      <w:pPr>
        <w:spacing w:after="0" w:line="240" w:lineRule="auto"/>
        <w:jc w:val="both"/>
        <w:rPr>
          <w:rFonts w:ascii="Arial" w:hAnsi="Arial" w:cs="Arial"/>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800"/>
        <w:gridCol w:w="1483"/>
      </w:tblGrid>
      <w:tr w14:paraId="3CA7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E634AE">
            <w:pPr>
              <w:spacing w:after="0" w:line="240" w:lineRule="auto"/>
              <w:jc w:val="both"/>
              <w:rPr>
                <w:rFonts w:ascii="Arial" w:hAnsi="Arial" w:cs="Arial"/>
                <w:b/>
                <w:sz w:val="24"/>
                <w:szCs w:val="24"/>
              </w:rPr>
            </w:pPr>
          </w:p>
        </w:tc>
        <w:tc>
          <w:tcPr>
            <w:tcW w:w="6946" w:type="dxa"/>
          </w:tcPr>
          <w:p w14:paraId="600941AA">
            <w:pPr>
              <w:spacing w:after="0" w:line="240" w:lineRule="auto"/>
              <w:jc w:val="both"/>
              <w:rPr>
                <w:rFonts w:ascii="Arial" w:hAnsi="Arial" w:cs="Arial"/>
                <w:b/>
                <w:sz w:val="24"/>
                <w:szCs w:val="24"/>
              </w:rPr>
            </w:pPr>
          </w:p>
        </w:tc>
        <w:tc>
          <w:tcPr>
            <w:tcW w:w="1337" w:type="dxa"/>
          </w:tcPr>
          <w:p w14:paraId="2A67F502">
            <w:pPr>
              <w:spacing w:after="0" w:line="240" w:lineRule="auto"/>
              <w:jc w:val="both"/>
              <w:rPr>
                <w:rFonts w:ascii="Arial" w:hAnsi="Arial" w:cs="Arial"/>
                <w:b/>
                <w:sz w:val="24"/>
                <w:szCs w:val="24"/>
              </w:rPr>
            </w:pPr>
            <w:r>
              <w:rPr>
                <w:rFonts w:ascii="Arial" w:hAnsi="Arial" w:cs="Arial"/>
                <w:b/>
                <w:sz w:val="24"/>
                <w:szCs w:val="24"/>
              </w:rPr>
              <w:t>ACTION</w:t>
            </w:r>
          </w:p>
        </w:tc>
      </w:tr>
      <w:tr w14:paraId="0C70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29EC95">
            <w:pPr>
              <w:spacing w:after="0" w:line="240" w:lineRule="auto"/>
              <w:jc w:val="both"/>
              <w:rPr>
                <w:rFonts w:ascii="Arial" w:hAnsi="Arial" w:cs="Arial"/>
                <w:b/>
              </w:rPr>
            </w:pPr>
            <w:r>
              <w:rPr>
                <w:rFonts w:ascii="Arial" w:hAnsi="Arial" w:cs="Arial"/>
                <w:b/>
              </w:rPr>
              <w:t>598</w:t>
            </w:r>
          </w:p>
        </w:tc>
        <w:tc>
          <w:tcPr>
            <w:tcW w:w="6946" w:type="dxa"/>
          </w:tcPr>
          <w:p w14:paraId="231A7A5B">
            <w:pPr>
              <w:spacing w:after="0" w:line="240" w:lineRule="auto"/>
              <w:jc w:val="both"/>
              <w:rPr>
                <w:rFonts w:ascii="Arial" w:hAnsi="Arial" w:cs="Arial"/>
              </w:rPr>
            </w:pPr>
            <w:r>
              <w:rPr>
                <w:rFonts w:ascii="Arial" w:hAnsi="Arial" w:cs="Arial"/>
              </w:rPr>
              <w:t>CH welcomed Stella Stocker on to the Committee and said we have another person, Dave from OLL joining the Committee at next meeting in June.</w:t>
            </w:r>
          </w:p>
        </w:tc>
        <w:tc>
          <w:tcPr>
            <w:tcW w:w="1337" w:type="dxa"/>
          </w:tcPr>
          <w:p w14:paraId="0A8D8B34">
            <w:pPr>
              <w:spacing w:after="0" w:line="240" w:lineRule="auto"/>
              <w:jc w:val="both"/>
              <w:rPr>
                <w:rFonts w:ascii="Arial" w:hAnsi="Arial" w:cs="Arial"/>
                <w:b/>
                <w:sz w:val="24"/>
                <w:szCs w:val="24"/>
              </w:rPr>
            </w:pPr>
          </w:p>
        </w:tc>
      </w:tr>
      <w:tr w14:paraId="4E22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840CF8">
            <w:pPr>
              <w:spacing w:after="0" w:line="240" w:lineRule="auto"/>
              <w:jc w:val="both"/>
              <w:rPr>
                <w:rFonts w:ascii="Arial" w:hAnsi="Arial" w:cs="Arial"/>
                <w:b/>
              </w:rPr>
            </w:pPr>
            <w:r>
              <w:rPr>
                <w:rFonts w:ascii="Arial" w:hAnsi="Arial" w:cs="Arial"/>
                <w:b/>
              </w:rPr>
              <w:t>598.1</w:t>
            </w:r>
          </w:p>
        </w:tc>
        <w:tc>
          <w:tcPr>
            <w:tcW w:w="6946" w:type="dxa"/>
          </w:tcPr>
          <w:p w14:paraId="4B8350A2">
            <w:pPr>
              <w:spacing w:after="0" w:line="240" w:lineRule="auto"/>
              <w:jc w:val="both"/>
              <w:rPr>
                <w:rFonts w:ascii="Arial" w:hAnsi="Arial" w:cs="Arial"/>
                <w:b/>
              </w:rPr>
            </w:pPr>
            <w:r>
              <w:rPr>
                <w:rFonts w:ascii="Arial" w:hAnsi="Arial" w:cs="Arial"/>
                <w:b/>
              </w:rPr>
              <w:t>Minutes of Last Meeting (April 9</w:t>
            </w:r>
            <w:r>
              <w:rPr>
                <w:rFonts w:ascii="Arial" w:hAnsi="Arial" w:cs="Arial"/>
                <w:b/>
                <w:vertAlign w:val="superscript"/>
              </w:rPr>
              <w:t>th</w:t>
            </w:r>
            <w:r>
              <w:rPr>
                <w:rFonts w:ascii="Arial" w:hAnsi="Arial" w:cs="Arial"/>
                <w:b/>
              </w:rPr>
              <w:t xml:space="preserve"> 2024)</w:t>
            </w:r>
          </w:p>
          <w:p w14:paraId="6D55F6AD">
            <w:pPr>
              <w:spacing w:after="0" w:line="240" w:lineRule="auto"/>
              <w:jc w:val="both"/>
              <w:rPr>
                <w:rFonts w:ascii="Arial" w:hAnsi="Arial" w:cs="Arial"/>
              </w:rPr>
            </w:pPr>
            <w:r>
              <w:rPr>
                <w:rFonts w:ascii="Arial" w:hAnsi="Arial" w:cs="Arial"/>
              </w:rPr>
              <w:t>Minutes having been circulated were agreed. There were no matters that would not be discussed during meeting</w:t>
            </w:r>
          </w:p>
        </w:tc>
        <w:tc>
          <w:tcPr>
            <w:tcW w:w="1337" w:type="dxa"/>
          </w:tcPr>
          <w:p w14:paraId="74C00C6C">
            <w:pPr>
              <w:spacing w:after="0" w:line="240" w:lineRule="auto"/>
              <w:jc w:val="both"/>
              <w:rPr>
                <w:rFonts w:ascii="Arial" w:hAnsi="Arial" w:cs="Arial"/>
                <w:b/>
                <w:sz w:val="24"/>
                <w:szCs w:val="24"/>
              </w:rPr>
            </w:pPr>
          </w:p>
        </w:tc>
      </w:tr>
      <w:tr w14:paraId="5C21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89A2F">
            <w:pPr>
              <w:spacing w:after="0" w:line="240" w:lineRule="auto"/>
              <w:jc w:val="both"/>
              <w:rPr>
                <w:rFonts w:ascii="Arial" w:hAnsi="Arial" w:cs="Arial"/>
                <w:b/>
              </w:rPr>
            </w:pPr>
            <w:r>
              <w:rPr>
                <w:rFonts w:ascii="Arial" w:hAnsi="Arial" w:cs="Arial"/>
                <w:b/>
              </w:rPr>
              <w:t>598.2</w:t>
            </w:r>
          </w:p>
        </w:tc>
        <w:tc>
          <w:tcPr>
            <w:tcW w:w="6946" w:type="dxa"/>
          </w:tcPr>
          <w:p w14:paraId="48006E34">
            <w:pPr>
              <w:spacing w:after="0" w:line="240" w:lineRule="auto"/>
              <w:jc w:val="both"/>
              <w:rPr>
                <w:rFonts w:ascii="Arial" w:hAnsi="Arial" w:cs="Arial"/>
                <w:b/>
              </w:rPr>
            </w:pPr>
            <w:r>
              <w:rPr>
                <w:rFonts w:ascii="Arial" w:hAnsi="Arial" w:cs="Arial"/>
                <w:b/>
              </w:rPr>
              <w:t>LBC:</w:t>
            </w:r>
          </w:p>
          <w:p w14:paraId="199A5AF7">
            <w:pPr>
              <w:pStyle w:val="5"/>
              <w:numPr>
                <w:ilvl w:val="0"/>
                <w:numId w:val="1"/>
              </w:numPr>
              <w:spacing w:after="0" w:line="240" w:lineRule="auto"/>
              <w:jc w:val="both"/>
              <w:rPr>
                <w:rFonts w:ascii="Arial" w:hAnsi="Arial" w:cs="Arial"/>
                <w:b/>
              </w:rPr>
            </w:pPr>
            <w:r>
              <w:rPr>
                <w:rFonts w:ascii="Arial" w:hAnsi="Arial" w:cs="Arial"/>
              </w:rPr>
              <w:t>CH said OK had to give late apologies, but that he would send his report over in the morning. Bus news to top of Hayes Lane is that there will be 10-12 week consultation. May have bus in the autumn.</w:t>
            </w:r>
          </w:p>
          <w:p w14:paraId="44D2E14F">
            <w:pPr>
              <w:pStyle w:val="5"/>
              <w:numPr>
                <w:ilvl w:val="0"/>
                <w:numId w:val="1"/>
              </w:numPr>
              <w:spacing w:after="0" w:line="240" w:lineRule="auto"/>
              <w:jc w:val="both"/>
              <w:rPr>
                <w:rFonts w:ascii="Arial" w:hAnsi="Arial" w:cs="Arial"/>
                <w:b/>
              </w:rPr>
            </w:pPr>
            <w:r>
              <w:rPr>
                <w:rFonts w:ascii="Arial" w:hAnsi="Arial" w:cs="Arial"/>
              </w:rPr>
              <w:t>ML said there will be a Ward Panel meeting in July.</w:t>
            </w:r>
          </w:p>
        </w:tc>
        <w:tc>
          <w:tcPr>
            <w:tcW w:w="1337" w:type="dxa"/>
          </w:tcPr>
          <w:p w14:paraId="1D4849EF">
            <w:pPr>
              <w:spacing w:after="0" w:line="240" w:lineRule="auto"/>
              <w:jc w:val="both"/>
              <w:rPr>
                <w:rFonts w:ascii="Arial" w:hAnsi="Arial" w:cs="Arial"/>
                <w:b/>
                <w:sz w:val="24"/>
                <w:szCs w:val="24"/>
              </w:rPr>
            </w:pPr>
          </w:p>
        </w:tc>
      </w:tr>
      <w:tr w14:paraId="1264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65BE2">
            <w:pPr>
              <w:spacing w:after="0" w:line="240" w:lineRule="auto"/>
              <w:jc w:val="both"/>
              <w:rPr>
                <w:rFonts w:ascii="Arial" w:hAnsi="Arial" w:cs="Arial"/>
                <w:b/>
              </w:rPr>
            </w:pPr>
            <w:r>
              <w:rPr>
                <w:rFonts w:ascii="Arial" w:hAnsi="Arial" w:cs="Arial"/>
                <w:b/>
              </w:rPr>
              <w:t>598.3.1</w:t>
            </w:r>
          </w:p>
        </w:tc>
        <w:tc>
          <w:tcPr>
            <w:tcW w:w="6946" w:type="dxa"/>
          </w:tcPr>
          <w:p w14:paraId="79B2A015">
            <w:pPr>
              <w:spacing w:after="0" w:line="240" w:lineRule="auto"/>
              <w:jc w:val="both"/>
              <w:rPr>
                <w:rFonts w:ascii="Arial" w:hAnsi="Arial" w:cs="Arial"/>
                <w:b/>
              </w:rPr>
            </w:pPr>
            <w:r>
              <w:rPr>
                <w:rFonts w:ascii="Arial" w:hAnsi="Arial" w:cs="Arial"/>
                <w:b/>
              </w:rPr>
              <w:t>Council News – No Councillors in attendance</w:t>
            </w:r>
          </w:p>
        </w:tc>
        <w:tc>
          <w:tcPr>
            <w:tcW w:w="1337" w:type="dxa"/>
          </w:tcPr>
          <w:p w14:paraId="075C9AB2">
            <w:pPr>
              <w:spacing w:after="0" w:line="240" w:lineRule="auto"/>
              <w:jc w:val="both"/>
              <w:rPr>
                <w:rFonts w:ascii="Arial" w:hAnsi="Arial" w:cs="Arial"/>
                <w:b/>
                <w:sz w:val="24"/>
                <w:szCs w:val="24"/>
              </w:rPr>
            </w:pPr>
          </w:p>
        </w:tc>
      </w:tr>
      <w:tr w14:paraId="44B2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A99AAE">
            <w:pPr>
              <w:spacing w:after="0" w:line="240" w:lineRule="auto"/>
              <w:jc w:val="both"/>
              <w:rPr>
                <w:rFonts w:ascii="Arial" w:hAnsi="Arial" w:cs="Arial"/>
                <w:b/>
              </w:rPr>
            </w:pPr>
            <w:r>
              <w:rPr>
                <w:rFonts w:ascii="Arial" w:hAnsi="Arial" w:cs="Arial"/>
                <w:b/>
              </w:rPr>
              <w:t>598.3.2</w:t>
            </w:r>
          </w:p>
        </w:tc>
        <w:tc>
          <w:tcPr>
            <w:tcW w:w="6946" w:type="dxa"/>
          </w:tcPr>
          <w:p w14:paraId="35AEBA98">
            <w:pPr>
              <w:spacing w:after="0" w:line="240" w:lineRule="auto"/>
              <w:jc w:val="both"/>
              <w:rPr>
                <w:rFonts w:ascii="Arial" w:hAnsi="Arial" w:cs="Arial"/>
                <w:b/>
              </w:rPr>
            </w:pPr>
            <w:r>
              <w:rPr>
                <w:rFonts w:ascii="Arial" w:hAnsi="Arial" w:cs="Arial"/>
                <w:b/>
              </w:rPr>
              <w:t>KENDRA Admin:</w:t>
            </w:r>
          </w:p>
          <w:p w14:paraId="7270A66B">
            <w:pPr>
              <w:pStyle w:val="5"/>
              <w:numPr>
                <w:ilvl w:val="0"/>
                <w:numId w:val="2"/>
              </w:numPr>
              <w:spacing w:after="0" w:line="240" w:lineRule="auto"/>
              <w:jc w:val="both"/>
              <w:rPr>
                <w:rFonts w:ascii="Arial" w:hAnsi="Arial" w:cs="Arial"/>
                <w:b/>
              </w:rPr>
            </w:pPr>
            <w:r>
              <w:rPr>
                <w:rFonts w:ascii="Arial" w:hAnsi="Arial" w:cs="Arial"/>
                <w:b/>
              </w:rPr>
              <w:t xml:space="preserve">Overview of April AGM – </w:t>
            </w:r>
            <w:r>
              <w:rPr>
                <w:rFonts w:ascii="Arial" w:hAnsi="Arial" w:cs="Arial"/>
              </w:rPr>
              <w:t>TA said it was difficult to get set up in time as we could not get into hall as early as we wanted. CH thanked Committee for working hard to get it set up for AGM to start on time. GJ said it was a pity we ran out of chairs. TA thought there were too many speakers, One or two people left when Good Growth speaker, Steve Dennington, got up to speak. GJ thought one Councillor speaking would be sufficient.  ML and PK said we need to be able to stop people whose question is of political content, but Chris Philp handled it well.  CH said she had received a few compliments on AGM and was pleased she caught up the time to finish at a reasonable time. There were 89 signed members plus Committee but AM said she counted 110.</w:t>
            </w:r>
          </w:p>
          <w:p w14:paraId="5A1929E8">
            <w:pPr>
              <w:pStyle w:val="5"/>
              <w:numPr>
                <w:ilvl w:val="0"/>
                <w:numId w:val="2"/>
              </w:numPr>
              <w:spacing w:after="0" w:line="240" w:lineRule="auto"/>
              <w:jc w:val="both"/>
              <w:rPr>
                <w:rFonts w:ascii="Arial" w:hAnsi="Arial" w:cs="Arial"/>
                <w:b/>
              </w:rPr>
            </w:pPr>
            <w:r>
              <w:rPr>
                <w:rFonts w:ascii="Arial" w:hAnsi="Arial" w:cs="Arial"/>
                <w:b/>
              </w:rPr>
              <w:t xml:space="preserve">Member Mojo – </w:t>
            </w:r>
            <w:r>
              <w:rPr>
                <w:rFonts w:ascii="Arial" w:hAnsi="Arial" w:cs="Arial"/>
              </w:rPr>
              <w:t xml:space="preserve">GJ said on Member Mojo we now have 509 members.  After discussion it was </w:t>
            </w:r>
            <w:r>
              <w:rPr>
                <w:rFonts w:ascii="Arial" w:hAnsi="Arial" w:cs="Arial"/>
                <w:b/>
              </w:rPr>
              <w:t>unanimously agreed</w:t>
            </w:r>
            <w:r>
              <w:rPr>
                <w:rFonts w:ascii="Arial" w:hAnsi="Arial" w:cs="Arial"/>
              </w:rPr>
              <w:t xml:space="preserve"> that “as a Committee we understand that any membership for year to 31/12/2024 not paid will be deleted from our records on February 28</w:t>
            </w:r>
            <w:r>
              <w:rPr>
                <w:rFonts w:ascii="Arial" w:hAnsi="Arial" w:cs="Arial"/>
                <w:vertAlign w:val="superscript"/>
              </w:rPr>
              <w:t>th</w:t>
            </w:r>
            <w:r>
              <w:rPr>
                <w:rFonts w:ascii="Arial" w:hAnsi="Arial" w:cs="Arial"/>
              </w:rPr>
              <w:t xml:space="preserve"> 2025. If that member pays after that for 2025 they will be reinstated.</w:t>
            </w:r>
          </w:p>
          <w:p w14:paraId="5335615E">
            <w:pPr>
              <w:pStyle w:val="5"/>
              <w:numPr>
                <w:ilvl w:val="0"/>
                <w:numId w:val="2"/>
              </w:numPr>
              <w:spacing w:after="0" w:line="240" w:lineRule="auto"/>
              <w:jc w:val="both"/>
              <w:rPr>
                <w:rFonts w:ascii="Arial" w:hAnsi="Arial" w:cs="Arial"/>
                <w:b/>
              </w:rPr>
            </w:pPr>
            <w:r>
              <w:rPr>
                <w:rFonts w:ascii="Arial" w:hAnsi="Arial" w:cs="Arial"/>
                <w:b/>
              </w:rPr>
              <w:t xml:space="preserve">Treasurer - </w:t>
            </w:r>
            <w:r>
              <w:rPr>
                <w:rFonts w:ascii="Arial" w:hAnsi="Arial" w:cs="Arial"/>
              </w:rPr>
              <w:t>With AM resigning as Treasurer after doing a superb job for 5 ½ years we need to find a new Treasurer.  CH said we need to advertise for new Treasurer or if anyone knows of anybody who would be able to help let her know. TA asked CH for a job description. CH said it would take 4 hours a month including 2 hours for meeting. TA said was CH able to sign cheques – yes she is.</w:t>
            </w:r>
          </w:p>
        </w:tc>
        <w:tc>
          <w:tcPr>
            <w:tcW w:w="1337" w:type="dxa"/>
          </w:tcPr>
          <w:p w14:paraId="5B233391">
            <w:pPr>
              <w:spacing w:after="0" w:line="240" w:lineRule="auto"/>
              <w:jc w:val="both"/>
              <w:rPr>
                <w:rFonts w:ascii="Arial" w:hAnsi="Arial" w:cs="Arial"/>
                <w:b/>
                <w:sz w:val="24"/>
                <w:szCs w:val="24"/>
              </w:rPr>
            </w:pPr>
          </w:p>
          <w:p w14:paraId="0DB2F150">
            <w:pPr>
              <w:spacing w:after="0" w:line="240" w:lineRule="auto"/>
              <w:jc w:val="both"/>
              <w:rPr>
                <w:rFonts w:ascii="Arial" w:hAnsi="Arial" w:cs="Arial"/>
                <w:b/>
                <w:sz w:val="24"/>
                <w:szCs w:val="24"/>
              </w:rPr>
            </w:pPr>
          </w:p>
          <w:p w14:paraId="590D3CFC">
            <w:pPr>
              <w:spacing w:after="0" w:line="240" w:lineRule="auto"/>
              <w:jc w:val="both"/>
              <w:rPr>
                <w:rFonts w:ascii="Arial" w:hAnsi="Arial" w:cs="Arial"/>
                <w:b/>
                <w:sz w:val="24"/>
                <w:szCs w:val="24"/>
              </w:rPr>
            </w:pPr>
          </w:p>
          <w:p w14:paraId="1709090C">
            <w:pPr>
              <w:spacing w:after="0" w:line="240" w:lineRule="auto"/>
              <w:jc w:val="both"/>
              <w:rPr>
                <w:rFonts w:ascii="Arial" w:hAnsi="Arial" w:cs="Arial"/>
                <w:b/>
                <w:sz w:val="24"/>
                <w:szCs w:val="24"/>
              </w:rPr>
            </w:pPr>
          </w:p>
          <w:p w14:paraId="37436971">
            <w:pPr>
              <w:spacing w:after="0" w:line="240" w:lineRule="auto"/>
              <w:jc w:val="both"/>
              <w:rPr>
                <w:rFonts w:ascii="Arial" w:hAnsi="Arial" w:cs="Arial"/>
                <w:b/>
                <w:sz w:val="24"/>
                <w:szCs w:val="24"/>
              </w:rPr>
            </w:pPr>
          </w:p>
          <w:p w14:paraId="2B48D3D7">
            <w:pPr>
              <w:spacing w:after="0" w:line="240" w:lineRule="auto"/>
              <w:jc w:val="both"/>
              <w:rPr>
                <w:rFonts w:ascii="Arial" w:hAnsi="Arial" w:cs="Arial"/>
                <w:b/>
                <w:sz w:val="24"/>
                <w:szCs w:val="24"/>
              </w:rPr>
            </w:pPr>
          </w:p>
          <w:p w14:paraId="583F6C8B">
            <w:pPr>
              <w:spacing w:after="0" w:line="240" w:lineRule="auto"/>
              <w:jc w:val="both"/>
              <w:rPr>
                <w:rFonts w:ascii="Arial" w:hAnsi="Arial" w:cs="Arial"/>
                <w:b/>
                <w:sz w:val="24"/>
                <w:szCs w:val="24"/>
              </w:rPr>
            </w:pPr>
          </w:p>
          <w:p w14:paraId="7DAB59C9">
            <w:pPr>
              <w:spacing w:after="0" w:line="240" w:lineRule="auto"/>
              <w:jc w:val="both"/>
              <w:rPr>
                <w:rFonts w:ascii="Arial" w:hAnsi="Arial" w:cs="Arial"/>
                <w:b/>
                <w:sz w:val="24"/>
                <w:szCs w:val="24"/>
              </w:rPr>
            </w:pPr>
          </w:p>
          <w:p w14:paraId="1B77568C">
            <w:pPr>
              <w:spacing w:after="0" w:line="240" w:lineRule="auto"/>
              <w:jc w:val="both"/>
              <w:rPr>
                <w:rFonts w:ascii="Arial" w:hAnsi="Arial" w:cs="Arial"/>
                <w:b/>
                <w:sz w:val="24"/>
                <w:szCs w:val="24"/>
              </w:rPr>
            </w:pPr>
          </w:p>
          <w:p w14:paraId="3CCE6022">
            <w:pPr>
              <w:spacing w:after="0" w:line="240" w:lineRule="auto"/>
              <w:jc w:val="both"/>
              <w:rPr>
                <w:rFonts w:ascii="Arial" w:hAnsi="Arial" w:cs="Arial"/>
                <w:b/>
                <w:sz w:val="24"/>
                <w:szCs w:val="24"/>
              </w:rPr>
            </w:pPr>
          </w:p>
          <w:p w14:paraId="335FCDC3">
            <w:pPr>
              <w:spacing w:after="0" w:line="240" w:lineRule="auto"/>
              <w:jc w:val="both"/>
              <w:rPr>
                <w:rFonts w:ascii="Arial" w:hAnsi="Arial" w:cs="Arial"/>
                <w:b/>
                <w:sz w:val="24"/>
                <w:szCs w:val="24"/>
              </w:rPr>
            </w:pPr>
          </w:p>
          <w:p w14:paraId="22C900AC">
            <w:pPr>
              <w:spacing w:after="0" w:line="240" w:lineRule="auto"/>
              <w:jc w:val="both"/>
              <w:rPr>
                <w:rFonts w:ascii="Arial" w:hAnsi="Arial" w:cs="Arial"/>
                <w:b/>
                <w:sz w:val="24"/>
                <w:szCs w:val="24"/>
              </w:rPr>
            </w:pPr>
          </w:p>
          <w:p w14:paraId="1D54CF7A">
            <w:pPr>
              <w:spacing w:after="0" w:line="240" w:lineRule="auto"/>
              <w:jc w:val="both"/>
              <w:rPr>
                <w:rFonts w:ascii="Arial" w:hAnsi="Arial" w:cs="Arial"/>
                <w:b/>
                <w:sz w:val="24"/>
                <w:szCs w:val="24"/>
              </w:rPr>
            </w:pPr>
          </w:p>
          <w:p w14:paraId="185BB401">
            <w:pPr>
              <w:spacing w:after="0" w:line="240" w:lineRule="auto"/>
              <w:jc w:val="both"/>
              <w:rPr>
                <w:rFonts w:ascii="Arial" w:hAnsi="Arial" w:cs="Arial"/>
                <w:b/>
                <w:sz w:val="24"/>
                <w:szCs w:val="24"/>
              </w:rPr>
            </w:pPr>
          </w:p>
          <w:p w14:paraId="2F1241C4">
            <w:pPr>
              <w:spacing w:after="0" w:line="240" w:lineRule="auto"/>
              <w:jc w:val="both"/>
              <w:rPr>
                <w:rFonts w:ascii="Arial" w:hAnsi="Arial" w:cs="Arial"/>
                <w:b/>
                <w:sz w:val="24"/>
                <w:szCs w:val="24"/>
              </w:rPr>
            </w:pPr>
          </w:p>
          <w:p w14:paraId="4C4EC73E">
            <w:pPr>
              <w:spacing w:after="0" w:line="240" w:lineRule="auto"/>
              <w:jc w:val="both"/>
              <w:rPr>
                <w:rFonts w:ascii="Arial" w:hAnsi="Arial" w:cs="Arial"/>
                <w:b/>
                <w:sz w:val="24"/>
                <w:szCs w:val="24"/>
              </w:rPr>
            </w:pPr>
            <w:r>
              <w:rPr>
                <w:rFonts w:ascii="Arial" w:hAnsi="Arial" w:cs="Arial"/>
                <w:b/>
                <w:sz w:val="24"/>
                <w:szCs w:val="24"/>
              </w:rPr>
              <w:t>ALL</w:t>
            </w:r>
          </w:p>
        </w:tc>
      </w:tr>
      <w:tr w14:paraId="7AB4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340D2D">
            <w:pPr>
              <w:spacing w:after="0" w:line="240" w:lineRule="auto"/>
              <w:jc w:val="both"/>
              <w:rPr>
                <w:rFonts w:ascii="Arial" w:hAnsi="Arial" w:cs="Arial"/>
                <w:b/>
              </w:rPr>
            </w:pPr>
            <w:r>
              <w:rPr>
                <w:rFonts w:ascii="Arial" w:hAnsi="Arial" w:cs="Arial"/>
                <w:b/>
              </w:rPr>
              <w:t>598.3.3</w:t>
            </w:r>
          </w:p>
        </w:tc>
        <w:tc>
          <w:tcPr>
            <w:tcW w:w="6946" w:type="dxa"/>
          </w:tcPr>
          <w:p w14:paraId="753D29BA">
            <w:pPr>
              <w:spacing w:after="0" w:line="240" w:lineRule="auto"/>
              <w:jc w:val="both"/>
              <w:rPr>
                <w:rFonts w:ascii="Arial" w:hAnsi="Arial" w:cs="Arial"/>
                <w:b/>
              </w:rPr>
            </w:pPr>
            <w:r>
              <w:rPr>
                <w:rFonts w:ascii="Arial" w:hAnsi="Arial" w:cs="Arial"/>
                <w:b/>
              </w:rPr>
              <w:t>Notice Boards</w:t>
            </w:r>
          </w:p>
          <w:p w14:paraId="002F4E08">
            <w:pPr>
              <w:spacing w:after="0" w:line="240" w:lineRule="auto"/>
              <w:jc w:val="both"/>
              <w:rPr>
                <w:rFonts w:ascii="Arial" w:hAnsi="Arial" w:cs="Arial"/>
              </w:rPr>
            </w:pPr>
            <w:r>
              <w:rPr>
                <w:rFonts w:ascii="Arial" w:hAnsi="Arial" w:cs="Arial"/>
              </w:rPr>
              <w:t xml:space="preserve">TA to change Notice board and put a Vacancy for Treasurer. Stella Stocker has joined Committee after AGM and Dave of OLL to join Committee in June. Also we need more volunteers. </w:t>
            </w:r>
          </w:p>
        </w:tc>
        <w:tc>
          <w:tcPr>
            <w:tcW w:w="1337" w:type="dxa"/>
          </w:tcPr>
          <w:p w14:paraId="63FC1FE5">
            <w:pPr>
              <w:spacing w:after="0" w:line="240" w:lineRule="auto"/>
              <w:jc w:val="both"/>
              <w:rPr>
                <w:rFonts w:ascii="Arial" w:hAnsi="Arial" w:cs="Arial"/>
                <w:b/>
                <w:sz w:val="24"/>
                <w:szCs w:val="24"/>
              </w:rPr>
            </w:pPr>
          </w:p>
          <w:p w14:paraId="3080F8EA">
            <w:pPr>
              <w:spacing w:after="0" w:line="240" w:lineRule="auto"/>
              <w:jc w:val="both"/>
              <w:rPr>
                <w:rFonts w:ascii="Arial" w:hAnsi="Arial" w:cs="Arial"/>
                <w:b/>
                <w:sz w:val="24"/>
                <w:szCs w:val="24"/>
              </w:rPr>
            </w:pPr>
            <w:r>
              <w:rPr>
                <w:rFonts w:ascii="Arial" w:hAnsi="Arial" w:cs="Arial"/>
                <w:b/>
                <w:sz w:val="24"/>
                <w:szCs w:val="24"/>
              </w:rPr>
              <w:t>TA</w:t>
            </w:r>
          </w:p>
        </w:tc>
      </w:tr>
      <w:tr w14:paraId="7494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4762A">
            <w:pPr>
              <w:spacing w:after="0" w:line="240" w:lineRule="auto"/>
              <w:jc w:val="both"/>
              <w:rPr>
                <w:rFonts w:ascii="Arial" w:hAnsi="Arial" w:cs="Arial"/>
                <w:b/>
              </w:rPr>
            </w:pPr>
            <w:r>
              <w:rPr>
                <w:rFonts w:ascii="Arial" w:hAnsi="Arial" w:cs="Arial"/>
                <w:b/>
              </w:rPr>
              <w:t>598.34</w:t>
            </w:r>
          </w:p>
        </w:tc>
        <w:tc>
          <w:tcPr>
            <w:tcW w:w="6946" w:type="dxa"/>
          </w:tcPr>
          <w:p w14:paraId="00ABA943">
            <w:pPr>
              <w:spacing w:after="0" w:line="240" w:lineRule="auto"/>
              <w:jc w:val="both"/>
              <w:rPr>
                <w:rFonts w:ascii="Arial" w:hAnsi="Arial" w:cs="Arial"/>
                <w:b/>
              </w:rPr>
            </w:pPr>
            <w:r>
              <w:rPr>
                <w:rFonts w:ascii="Arial" w:hAnsi="Arial" w:cs="Arial"/>
                <w:b/>
              </w:rPr>
              <w:t>Kendra Magazine</w:t>
            </w:r>
          </w:p>
          <w:p w14:paraId="69E1A2F3">
            <w:pPr>
              <w:spacing w:after="0" w:line="240" w:lineRule="auto"/>
              <w:jc w:val="both"/>
              <w:rPr>
                <w:rFonts w:ascii="Arial" w:hAnsi="Arial" w:cs="Arial"/>
              </w:rPr>
            </w:pPr>
            <w:r>
              <w:rPr>
                <w:rFonts w:ascii="Arial" w:hAnsi="Arial" w:cs="Arial"/>
              </w:rPr>
              <w:t>TH said that the summer issue was due out mid July. PK said he had 4 or 5 articles to put in. PK said idea for front cover a picture of some of the beautiful trees in Kenley. TH and PK are to ask Simon if he still wishes to produce the magazine.</w:t>
            </w:r>
          </w:p>
        </w:tc>
        <w:tc>
          <w:tcPr>
            <w:tcW w:w="1337" w:type="dxa"/>
          </w:tcPr>
          <w:p w14:paraId="7448E789">
            <w:pPr>
              <w:spacing w:after="0" w:line="240" w:lineRule="auto"/>
              <w:jc w:val="both"/>
              <w:rPr>
                <w:rFonts w:ascii="Arial" w:hAnsi="Arial" w:cs="Arial"/>
                <w:b/>
                <w:sz w:val="24"/>
                <w:szCs w:val="24"/>
              </w:rPr>
            </w:pPr>
          </w:p>
          <w:p w14:paraId="1D282A57">
            <w:pPr>
              <w:spacing w:after="0" w:line="240" w:lineRule="auto"/>
              <w:jc w:val="both"/>
              <w:rPr>
                <w:rFonts w:ascii="Arial" w:hAnsi="Arial" w:cs="Arial"/>
                <w:b/>
                <w:sz w:val="24"/>
                <w:szCs w:val="24"/>
              </w:rPr>
            </w:pPr>
          </w:p>
          <w:p w14:paraId="28FA2635">
            <w:pPr>
              <w:spacing w:after="0" w:line="240" w:lineRule="auto"/>
              <w:jc w:val="both"/>
              <w:rPr>
                <w:rFonts w:ascii="Arial" w:hAnsi="Arial" w:cs="Arial"/>
                <w:b/>
                <w:sz w:val="24"/>
                <w:szCs w:val="24"/>
              </w:rPr>
            </w:pPr>
            <w:r>
              <w:rPr>
                <w:rFonts w:ascii="Arial" w:hAnsi="Arial" w:cs="Arial"/>
                <w:b/>
                <w:sz w:val="24"/>
                <w:szCs w:val="24"/>
              </w:rPr>
              <w:t>TH/PK</w:t>
            </w:r>
          </w:p>
        </w:tc>
      </w:tr>
      <w:tr w14:paraId="71AB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4974C7">
            <w:pPr>
              <w:spacing w:after="0" w:line="240" w:lineRule="auto"/>
              <w:jc w:val="both"/>
              <w:rPr>
                <w:rFonts w:ascii="Arial" w:hAnsi="Arial" w:cs="Arial"/>
                <w:b/>
              </w:rPr>
            </w:pPr>
            <w:r>
              <w:rPr>
                <w:rFonts w:ascii="Arial" w:hAnsi="Arial" w:cs="Arial"/>
                <w:b/>
              </w:rPr>
              <w:t>598.3.5</w:t>
            </w:r>
          </w:p>
        </w:tc>
        <w:tc>
          <w:tcPr>
            <w:tcW w:w="6946" w:type="dxa"/>
          </w:tcPr>
          <w:p w14:paraId="45421E65">
            <w:pPr>
              <w:spacing w:after="0" w:line="240" w:lineRule="auto"/>
              <w:jc w:val="both"/>
              <w:rPr>
                <w:rFonts w:ascii="Arial" w:hAnsi="Arial" w:cs="Arial"/>
                <w:b/>
              </w:rPr>
            </w:pPr>
            <w:r>
              <w:rPr>
                <w:rFonts w:ascii="Arial" w:hAnsi="Arial" w:cs="Arial"/>
                <w:b/>
              </w:rPr>
              <w:t>Other Local Issues</w:t>
            </w:r>
          </w:p>
          <w:p w14:paraId="6B451350">
            <w:pPr>
              <w:spacing w:after="0" w:line="240" w:lineRule="auto"/>
              <w:jc w:val="both"/>
              <w:rPr>
                <w:rFonts w:ascii="Arial" w:hAnsi="Arial" w:cs="Arial"/>
              </w:rPr>
            </w:pPr>
            <w:r>
              <w:rPr>
                <w:rFonts w:ascii="Arial" w:hAnsi="Arial" w:cs="Arial"/>
              </w:rPr>
              <w:t>Kenley Community Advisory Group are trying to get Healthy Streets to look at widening bridge by Kenley Station, pedestrian zone on Hayes Lane hill – traffic to use Park Road, speeding around airfield and parking, other ideas are traffic lights for crossing by Co-op.</w:t>
            </w:r>
          </w:p>
          <w:p w14:paraId="2C60EF10">
            <w:pPr>
              <w:spacing w:after="0" w:line="240" w:lineRule="auto"/>
              <w:jc w:val="both"/>
              <w:rPr>
                <w:rFonts w:ascii="Arial" w:hAnsi="Arial" w:cs="Arial"/>
              </w:rPr>
            </w:pPr>
            <w:r>
              <w:rPr>
                <w:rFonts w:ascii="Arial" w:hAnsi="Arial" w:cs="Arial"/>
              </w:rPr>
              <w:t>A Healthy Streets workshop to be held on 1</w:t>
            </w:r>
            <w:r>
              <w:rPr>
                <w:rFonts w:ascii="Arial" w:hAnsi="Arial" w:cs="Arial"/>
                <w:vertAlign w:val="superscript"/>
              </w:rPr>
              <w:t>st</w:t>
            </w:r>
            <w:r>
              <w:rPr>
                <w:rFonts w:ascii="Arial" w:hAnsi="Arial" w:cs="Arial"/>
              </w:rPr>
              <w:t xml:space="preserve"> June at All Saints Church. We need to get feedback from members. </w:t>
            </w:r>
          </w:p>
        </w:tc>
        <w:tc>
          <w:tcPr>
            <w:tcW w:w="1337" w:type="dxa"/>
          </w:tcPr>
          <w:p w14:paraId="1E81D7D6">
            <w:pPr>
              <w:spacing w:after="0" w:line="240" w:lineRule="auto"/>
              <w:jc w:val="both"/>
              <w:rPr>
                <w:rFonts w:ascii="Arial" w:hAnsi="Arial" w:cs="Arial"/>
                <w:b/>
                <w:sz w:val="24"/>
                <w:szCs w:val="24"/>
              </w:rPr>
            </w:pPr>
          </w:p>
          <w:p w14:paraId="6D38A818">
            <w:pPr>
              <w:spacing w:after="0" w:line="240" w:lineRule="auto"/>
              <w:jc w:val="both"/>
              <w:rPr>
                <w:rFonts w:ascii="Arial" w:hAnsi="Arial" w:cs="Arial"/>
                <w:b/>
                <w:sz w:val="24"/>
                <w:szCs w:val="24"/>
              </w:rPr>
            </w:pPr>
          </w:p>
          <w:p w14:paraId="4C5D9809">
            <w:pPr>
              <w:spacing w:after="0" w:line="240" w:lineRule="auto"/>
              <w:jc w:val="both"/>
              <w:rPr>
                <w:rFonts w:ascii="Arial" w:hAnsi="Arial" w:cs="Arial"/>
                <w:b/>
                <w:sz w:val="24"/>
                <w:szCs w:val="24"/>
              </w:rPr>
            </w:pPr>
            <w:r>
              <w:rPr>
                <w:rFonts w:ascii="Arial" w:hAnsi="Arial" w:cs="Arial"/>
                <w:b/>
                <w:sz w:val="24"/>
                <w:szCs w:val="24"/>
              </w:rPr>
              <w:t>GJ/CH/ALL</w:t>
            </w:r>
          </w:p>
        </w:tc>
      </w:tr>
      <w:tr w14:paraId="70A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AEB5E">
            <w:pPr>
              <w:spacing w:after="0" w:line="240" w:lineRule="auto"/>
              <w:jc w:val="both"/>
              <w:rPr>
                <w:rFonts w:ascii="Arial" w:hAnsi="Arial" w:cs="Arial"/>
                <w:b/>
              </w:rPr>
            </w:pPr>
            <w:r>
              <w:rPr>
                <w:rFonts w:ascii="Arial" w:hAnsi="Arial" w:cs="Arial"/>
                <w:b/>
              </w:rPr>
              <w:t>598.3.6</w:t>
            </w:r>
          </w:p>
        </w:tc>
        <w:tc>
          <w:tcPr>
            <w:tcW w:w="6946" w:type="dxa"/>
          </w:tcPr>
          <w:p w14:paraId="04C9A367">
            <w:pPr>
              <w:spacing w:after="0" w:line="240" w:lineRule="auto"/>
              <w:jc w:val="both"/>
              <w:rPr>
                <w:rFonts w:ascii="Arial" w:hAnsi="Arial" w:cs="Arial"/>
                <w:b/>
              </w:rPr>
            </w:pPr>
            <w:r>
              <w:rPr>
                <w:rFonts w:ascii="Arial" w:hAnsi="Arial" w:cs="Arial"/>
                <w:b/>
              </w:rPr>
              <w:t>Litter Issues</w:t>
            </w:r>
          </w:p>
          <w:p w14:paraId="2D619299">
            <w:pPr>
              <w:spacing w:after="0" w:line="240" w:lineRule="auto"/>
              <w:jc w:val="both"/>
              <w:rPr>
                <w:rFonts w:ascii="Arial" w:hAnsi="Arial" w:cs="Arial"/>
              </w:rPr>
            </w:pPr>
            <w:r>
              <w:rPr>
                <w:rFonts w:ascii="Arial" w:hAnsi="Arial" w:cs="Arial"/>
              </w:rPr>
              <w:t>PK said there will be a Litter Pick on 9th June. NOX lead canisters can be collected with general rubbish.  Good turnout apparently for last pick, as PK was away.</w:t>
            </w:r>
          </w:p>
        </w:tc>
        <w:tc>
          <w:tcPr>
            <w:tcW w:w="1337" w:type="dxa"/>
          </w:tcPr>
          <w:p w14:paraId="737D0811">
            <w:pPr>
              <w:spacing w:after="0" w:line="240" w:lineRule="auto"/>
              <w:jc w:val="both"/>
              <w:rPr>
                <w:rFonts w:ascii="Arial" w:hAnsi="Arial" w:cs="Arial"/>
                <w:b/>
                <w:sz w:val="24"/>
                <w:szCs w:val="24"/>
              </w:rPr>
            </w:pPr>
          </w:p>
        </w:tc>
      </w:tr>
      <w:tr w14:paraId="071B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96B35E">
            <w:pPr>
              <w:spacing w:after="0" w:line="240" w:lineRule="auto"/>
              <w:jc w:val="both"/>
              <w:rPr>
                <w:rFonts w:ascii="Arial" w:hAnsi="Arial" w:cs="Arial"/>
                <w:b/>
              </w:rPr>
            </w:pPr>
            <w:r>
              <w:rPr>
                <w:rFonts w:ascii="Arial" w:hAnsi="Arial" w:cs="Arial"/>
                <w:b/>
              </w:rPr>
              <w:t>598.3.7</w:t>
            </w:r>
          </w:p>
        </w:tc>
        <w:tc>
          <w:tcPr>
            <w:tcW w:w="6946" w:type="dxa"/>
          </w:tcPr>
          <w:p w14:paraId="7EA3E9BC">
            <w:pPr>
              <w:spacing w:after="0" w:line="240" w:lineRule="auto"/>
              <w:jc w:val="both"/>
              <w:rPr>
                <w:rFonts w:ascii="Arial" w:hAnsi="Arial" w:cs="Arial"/>
                <w:b/>
              </w:rPr>
            </w:pPr>
            <w:r>
              <w:rPr>
                <w:rFonts w:ascii="Arial" w:hAnsi="Arial" w:cs="Arial"/>
                <w:b/>
              </w:rPr>
              <w:t>Wattenden Pond</w:t>
            </w:r>
          </w:p>
          <w:p w14:paraId="69DEEDB2">
            <w:pPr>
              <w:spacing w:after="0" w:line="240" w:lineRule="auto"/>
              <w:jc w:val="both"/>
              <w:rPr>
                <w:rFonts w:ascii="Arial" w:hAnsi="Arial" w:cs="Arial"/>
              </w:rPr>
            </w:pPr>
            <w:r>
              <w:rPr>
                <w:rFonts w:ascii="Arial" w:hAnsi="Arial" w:cs="Arial"/>
              </w:rPr>
              <w:t>ML said mower will be arriving on Friday.  Hire cost £63.60 invoice to follow (ML). Suggestion of turning the Pond into a butterfly farm.</w:t>
            </w:r>
          </w:p>
        </w:tc>
        <w:tc>
          <w:tcPr>
            <w:tcW w:w="1337" w:type="dxa"/>
          </w:tcPr>
          <w:p w14:paraId="0295CC32">
            <w:pPr>
              <w:spacing w:after="0" w:line="240" w:lineRule="auto"/>
              <w:jc w:val="both"/>
              <w:rPr>
                <w:rFonts w:ascii="Arial" w:hAnsi="Arial" w:cs="Arial"/>
                <w:b/>
                <w:sz w:val="24"/>
                <w:szCs w:val="24"/>
              </w:rPr>
            </w:pPr>
          </w:p>
          <w:p w14:paraId="5441D7B4">
            <w:pPr>
              <w:spacing w:after="0" w:line="240" w:lineRule="auto"/>
              <w:jc w:val="both"/>
              <w:rPr>
                <w:rFonts w:ascii="Arial" w:hAnsi="Arial" w:cs="Arial"/>
                <w:b/>
                <w:sz w:val="24"/>
                <w:szCs w:val="24"/>
              </w:rPr>
            </w:pPr>
            <w:r>
              <w:rPr>
                <w:rFonts w:ascii="Arial" w:hAnsi="Arial" w:cs="Arial"/>
                <w:b/>
                <w:sz w:val="24"/>
                <w:szCs w:val="24"/>
              </w:rPr>
              <w:t>ML/CH</w:t>
            </w:r>
          </w:p>
        </w:tc>
      </w:tr>
      <w:tr w14:paraId="14D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7ABFAA">
            <w:pPr>
              <w:spacing w:after="0" w:line="240" w:lineRule="auto"/>
              <w:jc w:val="both"/>
              <w:rPr>
                <w:rFonts w:ascii="Arial" w:hAnsi="Arial" w:cs="Arial"/>
                <w:b/>
              </w:rPr>
            </w:pPr>
            <w:r>
              <w:rPr>
                <w:rFonts w:ascii="Arial" w:hAnsi="Arial" w:cs="Arial"/>
                <w:b/>
              </w:rPr>
              <w:t>598.4</w:t>
            </w:r>
          </w:p>
        </w:tc>
        <w:tc>
          <w:tcPr>
            <w:tcW w:w="6946" w:type="dxa"/>
          </w:tcPr>
          <w:p w14:paraId="2F310693">
            <w:pPr>
              <w:spacing w:after="0" w:line="240" w:lineRule="auto"/>
              <w:jc w:val="both"/>
              <w:rPr>
                <w:rFonts w:ascii="Arial" w:hAnsi="Arial" w:cs="Arial"/>
                <w:b/>
              </w:rPr>
            </w:pPr>
            <w:r>
              <w:rPr>
                <w:rFonts w:ascii="Arial" w:hAnsi="Arial" w:cs="Arial"/>
                <w:b/>
              </w:rPr>
              <w:t>Committee Reports</w:t>
            </w:r>
          </w:p>
          <w:p w14:paraId="790A97DA">
            <w:pPr>
              <w:pStyle w:val="5"/>
              <w:numPr>
                <w:ilvl w:val="0"/>
                <w:numId w:val="3"/>
              </w:numPr>
              <w:spacing w:after="0" w:line="240" w:lineRule="auto"/>
              <w:jc w:val="both"/>
              <w:rPr>
                <w:rFonts w:ascii="Arial" w:hAnsi="Arial" w:cs="Arial"/>
                <w:b/>
              </w:rPr>
            </w:pPr>
            <w:r>
              <w:rPr>
                <w:rFonts w:ascii="Arial" w:hAnsi="Arial" w:cs="Arial"/>
                <w:b/>
              </w:rPr>
              <w:t>Treasurer:</w:t>
            </w:r>
          </w:p>
          <w:p w14:paraId="4433A429">
            <w:pPr>
              <w:pStyle w:val="5"/>
              <w:numPr>
                <w:ilvl w:val="0"/>
                <w:numId w:val="3"/>
              </w:numPr>
              <w:spacing w:after="0" w:line="240" w:lineRule="auto"/>
              <w:jc w:val="both"/>
              <w:rPr>
                <w:rFonts w:ascii="Arial" w:hAnsi="Arial" w:cs="Arial"/>
                <w:b/>
              </w:rPr>
            </w:pPr>
            <w:r>
              <w:rPr>
                <w:rFonts w:ascii="Arial" w:hAnsi="Arial" w:cs="Arial"/>
                <w:b/>
              </w:rPr>
              <w:t xml:space="preserve">Member Mojo: </w:t>
            </w:r>
            <w:r>
              <w:rPr>
                <w:rFonts w:ascii="Arial" w:hAnsi="Arial" w:cs="Arial"/>
              </w:rPr>
              <w:t>Already covered</w:t>
            </w:r>
          </w:p>
          <w:p w14:paraId="49B618DA">
            <w:pPr>
              <w:pStyle w:val="5"/>
              <w:numPr>
                <w:ilvl w:val="0"/>
                <w:numId w:val="3"/>
              </w:numPr>
              <w:spacing w:after="0" w:line="240" w:lineRule="auto"/>
              <w:jc w:val="both"/>
              <w:rPr>
                <w:rFonts w:ascii="Arial" w:hAnsi="Arial" w:cs="Arial"/>
                <w:b/>
              </w:rPr>
            </w:pPr>
            <w:r>
              <w:rPr>
                <w:rFonts w:ascii="Arial" w:hAnsi="Arial" w:cs="Arial"/>
                <w:b/>
              </w:rPr>
              <w:t xml:space="preserve">Planning – </w:t>
            </w:r>
            <w:r>
              <w:rPr>
                <w:rFonts w:ascii="Arial" w:hAnsi="Arial" w:cs="Arial"/>
              </w:rPr>
              <w:t>Nothing that was not covered in weekly email.</w:t>
            </w:r>
          </w:p>
        </w:tc>
        <w:tc>
          <w:tcPr>
            <w:tcW w:w="1337" w:type="dxa"/>
          </w:tcPr>
          <w:p w14:paraId="0EE903C7">
            <w:pPr>
              <w:spacing w:after="0" w:line="240" w:lineRule="auto"/>
              <w:jc w:val="both"/>
              <w:rPr>
                <w:rFonts w:ascii="Arial" w:hAnsi="Arial" w:cs="Arial"/>
                <w:b/>
                <w:sz w:val="24"/>
                <w:szCs w:val="24"/>
              </w:rPr>
            </w:pPr>
          </w:p>
        </w:tc>
      </w:tr>
      <w:tr w14:paraId="293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FB4D3B">
            <w:pPr>
              <w:spacing w:after="0" w:line="240" w:lineRule="auto"/>
              <w:jc w:val="both"/>
              <w:rPr>
                <w:rFonts w:ascii="Arial" w:hAnsi="Arial" w:cs="Arial"/>
                <w:b/>
              </w:rPr>
            </w:pPr>
            <w:r>
              <w:rPr>
                <w:rFonts w:ascii="Arial" w:hAnsi="Arial" w:cs="Arial"/>
                <w:b/>
              </w:rPr>
              <w:t>598.5</w:t>
            </w:r>
          </w:p>
        </w:tc>
        <w:tc>
          <w:tcPr>
            <w:tcW w:w="6946" w:type="dxa"/>
          </w:tcPr>
          <w:p w14:paraId="6AC742F9">
            <w:pPr>
              <w:spacing w:after="0" w:line="240" w:lineRule="auto"/>
              <w:jc w:val="both"/>
              <w:rPr>
                <w:rFonts w:ascii="Arial" w:hAnsi="Arial" w:cs="Arial"/>
                <w:b/>
              </w:rPr>
            </w:pPr>
            <w:r>
              <w:rPr>
                <w:rFonts w:ascii="Arial" w:hAnsi="Arial" w:cs="Arial"/>
                <w:b/>
              </w:rPr>
              <w:t>Any Other Business</w:t>
            </w:r>
          </w:p>
          <w:p w14:paraId="3C2ED324">
            <w:pPr>
              <w:pStyle w:val="5"/>
              <w:numPr>
                <w:ilvl w:val="0"/>
                <w:numId w:val="4"/>
              </w:numPr>
              <w:spacing w:after="0" w:line="240" w:lineRule="auto"/>
              <w:jc w:val="both"/>
              <w:rPr>
                <w:rFonts w:ascii="Arial" w:hAnsi="Arial" w:cs="Arial"/>
                <w:b/>
              </w:rPr>
            </w:pPr>
            <w:r>
              <w:rPr>
                <w:rFonts w:ascii="Arial" w:hAnsi="Arial" w:cs="Arial"/>
                <w:b/>
              </w:rPr>
              <w:t xml:space="preserve">Save a Life Day – </w:t>
            </w:r>
            <w:r>
              <w:rPr>
                <w:rFonts w:ascii="Arial" w:hAnsi="Arial" w:cs="Arial"/>
              </w:rPr>
              <w:t>It was agreed a KENDRA donation of £100 + £20 donations received from participants on the day be sent to London Ambulance Service. PK to contact Tracey as clearly a fault with her Defribulator.</w:t>
            </w:r>
          </w:p>
          <w:p w14:paraId="3E72D15E">
            <w:pPr>
              <w:pStyle w:val="5"/>
              <w:numPr>
                <w:ilvl w:val="0"/>
                <w:numId w:val="4"/>
              </w:numPr>
              <w:spacing w:after="0" w:line="240" w:lineRule="auto"/>
              <w:jc w:val="both"/>
              <w:rPr>
                <w:rFonts w:ascii="Arial" w:hAnsi="Arial" w:cs="Arial"/>
                <w:b/>
              </w:rPr>
            </w:pPr>
            <w:r>
              <w:rPr>
                <w:rFonts w:ascii="Arial" w:hAnsi="Arial" w:cs="Arial"/>
                <w:b/>
              </w:rPr>
              <w:t xml:space="preserve">KEV – Kendra Extraordinary Volunteers – </w:t>
            </w:r>
            <w:r>
              <w:rPr>
                <w:rFonts w:ascii="Arial" w:hAnsi="Arial" w:cs="Arial"/>
              </w:rPr>
              <w:t>PK has ordered high viz jackets for leaflet delivery.</w:t>
            </w:r>
          </w:p>
          <w:p w14:paraId="11BCFFD4">
            <w:pPr>
              <w:pStyle w:val="5"/>
              <w:numPr>
                <w:ilvl w:val="0"/>
                <w:numId w:val="4"/>
              </w:numPr>
              <w:spacing w:after="0" w:line="240" w:lineRule="auto"/>
              <w:jc w:val="both"/>
              <w:rPr>
                <w:rFonts w:ascii="Arial" w:hAnsi="Arial" w:cs="Arial"/>
                <w:b/>
              </w:rPr>
            </w:pPr>
            <w:r>
              <w:rPr>
                <w:rFonts w:ascii="Arial" w:hAnsi="Arial" w:cs="Arial"/>
                <w:b/>
              </w:rPr>
              <w:t xml:space="preserve">Communication Letter – </w:t>
            </w:r>
            <w:r>
              <w:rPr>
                <w:rFonts w:ascii="Arial" w:hAnsi="Arial" w:cs="Arial"/>
              </w:rPr>
              <w:t>discussion to be had after PK delivered letter to Committee. TA said is it better to have letter or leaflet. Do we do Royal Mail delivery or RS. Discuss next meeting, TA to speak to PK.</w:t>
            </w:r>
          </w:p>
        </w:tc>
        <w:tc>
          <w:tcPr>
            <w:tcW w:w="1337" w:type="dxa"/>
          </w:tcPr>
          <w:p w14:paraId="1091B30B">
            <w:pPr>
              <w:spacing w:after="0" w:line="240" w:lineRule="auto"/>
              <w:jc w:val="both"/>
              <w:rPr>
                <w:rFonts w:ascii="Arial" w:hAnsi="Arial" w:cs="Arial"/>
                <w:b/>
                <w:sz w:val="24"/>
                <w:szCs w:val="24"/>
              </w:rPr>
            </w:pPr>
          </w:p>
          <w:p w14:paraId="55C603E0">
            <w:pPr>
              <w:spacing w:after="0" w:line="240" w:lineRule="auto"/>
              <w:jc w:val="both"/>
              <w:rPr>
                <w:rFonts w:ascii="Arial" w:hAnsi="Arial" w:cs="Arial"/>
                <w:b/>
                <w:sz w:val="24"/>
                <w:szCs w:val="24"/>
              </w:rPr>
            </w:pPr>
            <w:r>
              <w:rPr>
                <w:rFonts w:ascii="Arial" w:hAnsi="Arial" w:cs="Arial"/>
                <w:b/>
                <w:sz w:val="24"/>
                <w:szCs w:val="24"/>
              </w:rPr>
              <w:t>AM</w:t>
            </w:r>
          </w:p>
          <w:p w14:paraId="386E7588">
            <w:pPr>
              <w:spacing w:after="0" w:line="240" w:lineRule="auto"/>
              <w:jc w:val="both"/>
              <w:rPr>
                <w:rFonts w:ascii="Arial" w:hAnsi="Arial" w:cs="Arial"/>
                <w:b/>
                <w:sz w:val="24"/>
                <w:szCs w:val="24"/>
              </w:rPr>
            </w:pPr>
            <w:r>
              <w:rPr>
                <w:rFonts w:ascii="Arial" w:hAnsi="Arial" w:cs="Arial"/>
                <w:b/>
                <w:sz w:val="24"/>
                <w:szCs w:val="24"/>
              </w:rPr>
              <w:t>PK</w:t>
            </w:r>
          </w:p>
          <w:p w14:paraId="5B43BDC2">
            <w:pPr>
              <w:spacing w:after="0" w:line="240" w:lineRule="auto"/>
              <w:jc w:val="both"/>
              <w:rPr>
                <w:rFonts w:ascii="Arial" w:hAnsi="Arial" w:cs="Arial"/>
                <w:b/>
                <w:sz w:val="24"/>
                <w:szCs w:val="24"/>
              </w:rPr>
            </w:pPr>
          </w:p>
          <w:p w14:paraId="0EEED74F">
            <w:pPr>
              <w:spacing w:after="0" w:line="240" w:lineRule="auto"/>
              <w:jc w:val="both"/>
              <w:rPr>
                <w:rFonts w:ascii="Arial" w:hAnsi="Arial" w:cs="Arial"/>
                <w:b/>
                <w:sz w:val="24"/>
                <w:szCs w:val="24"/>
              </w:rPr>
            </w:pPr>
          </w:p>
          <w:p w14:paraId="0C8C909D">
            <w:pPr>
              <w:spacing w:after="0" w:line="240" w:lineRule="auto"/>
              <w:jc w:val="both"/>
              <w:rPr>
                <w:rFonts w:ascii="Arial" w:hAnsi="Arial" w:cs="Arial"/>
                <w:b/>
                <w:sz w:val="24"/>
                <w:szCs w:val="24"/>
              </w:rPr>
            </w:pPr>
          </w:p>
          <w:p w14:paraId="462A867C">
            <w:pPr>
              <w:spacing w:after="0" w:line="240" w:lineRule="auto"/>
              <w:jc w:val="both"/>
              <w:rPr>
                <w:rFonts w:ascii="Arial" w:hAnsi="Arial" w:cs="Arial"/>
                <w:b/>
                <w:sz w:val="24"/>
                <w:szCs w:val="24"/>
              </w:rPr>
            </w:pPr>
          </w:p>
          <w:p w14:paraId="6224E54B">
            <w:pPr>
              <w:spacing w:after="0" w:line="240" w:lineRule="auto"/>
              <w:jc w:val="both"/>
              <w:rPr>
                <w:rFonts w:ascii="Arial" w:hAnsi="Arial" w:cs="Arial"/>
                <w:b/>
                <w:sz w:val="24"/>
                <w:szCs w:val="24"/>
              </w:rPr>
            </w:pPr>
            <w:r>
              <w:rPr>
                <w:rFonts w:ascii="Arial" w:hAnsi="Arial" w:cs="Arial"/>
                <w:b/>
                <w:sz w:val="24"/>
                <w:szCs w:val="24"/>
              </w:rPr>
              <w:t>TA/PK/ALL</w:t>
            </w:r>
          </w:p>
          <w:p w14:paraId="46622BCD">
            <w:pPr>
              <w:spacing w:after="0" w:line="240" w:lineRule="auto"/>
              <w:jc w:val="both"/>
              <w:rPr>
                <w:rFonts w:ascii="Arial" w:hAnsi="Arial" w:cs="Arial"/>
                <w:b/>
                <w:sz w:val="24"/>
                <w:szCs w:val="24"/>
              </w:rPr>
            </w:pPr>
          </w:p>
        </w:tc>
      </w:tr>
      <w:tr w14:paraId="5B9C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E470CA">
            <w:pPr>
              <w:spacing w:after="0" w:line="240" w:lineRule="auto"/>
              <w:jc w:val="both"/>
              <w:rPr>
                <w:rFonts w:ascii="Arial" w:hAnsi="Arial" w:cs="Arial"/>
                <w:b/>
              </w:rPr>
            </w:pPr>
            <w:r>
              <w:rPr>
                <w:rFonts w:ascii="Arial" w:hAnsi="Arial" w:cs="Arial"/>
                <w:b/>
              </w:rPr>
              <w:t>598.6</w:t>
            </w:r>
          </w:p>
        </w:tc>
        <w:tc>
          <w:tcPr>
            <w:tcW w:w="6946" w:type="dxa"/>
          </w:tcPr>
          <w:p w14:paraId="4112DE33">
            <w:pPr>
              <w:spacing w:after="0" w:line="240" w:lineRule="auto"/>
              <w:jc w:val="both"/>
              <w:rPr>
                <w:rFonts w:ascii="Arial" w:hAnsi="Arial" w:cs="Arial"/>
                <w:b/>
              </w:rPr>
            </w:pPr>
            <w:r>
              <w:rPr>
                <w:rFonts w:ascii="Arial" w:hAnsi="Arial" w:cs="Arial"/>
                <w:b/>
              </w:rPr>
              <w:t>Next Meeting</w:t>
            </w:r>
          </w:p>
          <w:p w14:paraId="6F2A3695">
            <w:pPr>
              <w:spacing w:after="0" w:line="240" w:lineRule="auto"/>
              <w:jc w:val="both"/>
              <w:rPr>
                <w:rFonts w:ascii="Arial" w:hAnsi="Arial" w:cs="Arial"/>
              </w:rPr>
            </w:pPr>
            <w:r>
              <w:rPr>
                <w:rFonts w:ascii="Arial" w:hAnsi="Arial" w:cs="Arial"/>
              </w:rPr>
              <w:t>The next Committee meeting will be held in Kenley Memorial Hall on Tuesday 11</w:t>
            </w:r>
            <w:r>
              <w:rPr>
                <w:rFonts w:ascii="Arial" w:hAnsi="Arial" w:cs="Arial"/>
                <w:vertAlign w:val="superscript"/>
              </w:rPr>
              <w:t>th</w:t>
            </w:r>
            <w:r>
              <w:rPr>
                <w:rFonts w:ascii="Arial" w:hAnsi="Arial" w:cs="Arial"/>
              </w:rPr>
              <w:t xml:space="preserve"> June at 7.30 p.m.</w:t>
            </w:r>
          </w:p>
        </w:tc>
        <w:tc>
          <w:tcPr>
            <w:tcW w:w="1337" w:type="dxa"/>
          </w:tcPr>
          <w:p w14:paraId="79177F66">
            <w:pPr>
              <w:spacing w:after="0" w:line="240" w:lineRule="auto"/>
              <w:jc w:val="both"/>
              <w:rPr>
                <w:rFonts w:ascii="Arial" w:hAnsi="Arial" w:cs="Arial"/>
                <w:b/>
                <w:sz w:val="24"/>
                <w:szCs w:val="24"/>
              </w:rPr>
            </w:pPr>
          </w:p>
          <w:p w14:paraId="1980FBD6">
            <w:pPr>
              <w:spacing w:after="0" w:line="240" w:lineRule="auto"/>
              <w:jc w:val="both"/>
              <w:rPr>
                <w:rFonts w:ascii="Arial" w:hAnsi="Arial" w:cs="Arial"/>
                <w:b/>
                <w:sz w:val="24"/>
                <w:szCs w:val="24"/>
              </w:rPr>
            </w:pPr>
            <w:r>
              <w:rPr>
                <w:rFonts w:ascii="Arial" w:hAnsi="Arial" w:cs="Arial"/>
                <w:b/>
                <w:sz w:val="24"/>
                <w:szCs w:val="24"/>
              </w:rPr>
              <w:t>ALL</w:t>
            </w:r>
          </w:p>
        </w:tc>
      </w:tr>
    </w:tbl>
    <w:p w14:paraId="40692F32">
      <w:pPr>
        <w:spacing w:after="0" w:line="240" w:lineRule="auto"/>
        <w:jc w:val="both"/>
        <w:rPr>
          <w:rFonts w:ascii="Arial" w:hAnsi="Arial" w:cs="Arial"/>
          <w:b/>
          <w:sz w:val="24"/>
          <w:szCs w:val="24"/>
        </w:rPr>
      </w:pPr>
    </w:p>
    <w:p w14:paraId="06DDAE67">
      <w:pPr>
        <w:spacing w:after="0" w:line="240" w:lineRule="auto"/>
        <w:jc w:val="both"/>
        <w:rPr>
          <w:rFonts w:ascii="Arial" w:hAnsi="Arial" w:cs="Arial"/>
          <w:b/>
          <w:sz w:val="24"/>
          <w:szCs w:val="24"/>
        </w:rPr>
      </w:pPr>
    </w:p>
    <w:p w14:paraId="58A8E91B">
      <w:pPr>
        <w:spacing w:after="0" w:line="240" w:lineRule="auto"/>
        <w:jc w:val="both"/>
        <w:rPr>
          <w:rFonts w:ascii="Arial" w:hAnsi="Arial" w:cs="Arial"/>
          <w:b/>
          <w:sz w:val="24"/>
          <w:szCs w:val="24"/>
        </w:rPr>
      </w:pPr>
      <w:r>
        <w:rPr>
          <w:rFonts w:ascii="Arial" w:hAnsi="Arial" w:cs="Arial"/>
          <w:b/>
          <w:sz w:val="24"/>
          <w:szCs w:val="24"/>
        </w:rPr>
        <w:t>Signature…………………………   Date………………………….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46D16"/>
    <w:multiLevelType w:val="multilevel"/>
    <w:tmpl w:val="24F46D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EA12EC"/>
    <w:multiLevelType w:val="multilevel"/>
    <w:tmpl w:val="5AEA12E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6B717D0"/>
    <w:multiLevelType w:val="multilevel"/>
    <w:tmpl w:val="76B717D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996405"/>
    <w:multiLevelType w:val="multilevel"/>
    <w:tmpl w:val="7899640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E3"/>
    <w:rsid w:val="0019614E"/>
    <w:rsid w:val="00217656"/>
    <w:rsid w:val="00421C56"/>
    <w:rsid w:val="005C2381"/>
    <w:rsid w:val="00816329"/>
    <w:rsid w:val="008C6C46"/>
    <w:rsid w:val="00AD0698"/>
    <w:rsid w:val="00B258D9"/>
    <w:rsid w:val="00B74FE3"/>
    <w:rsid w:val="00BE62E3"/>
    <w:rsid w:val="00CB0F04"/>
    <w:rsid w:val="00DB6E26"/>
    <w:rsid w:val="00E54C31"/>
    <w:rsid w:val="00E621A3"/>
    <w:rsid w:val="00F53B4D"/>
    <w:rsid w:val="582B00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688</Words>
  <Characters>3926</Characters>
  <Lines>32</Lines>
  <Paragraphs>9</Paragraphs>
  <TotalTime>0</TotalTime>
  <ScaleCrop>false</ScaleCrop>
  <LinksUpToDate>false</LinksUpToDate>
  <CharactersWithSpaces>4605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2024-05-30T13:12:00Z</dcterms:created>
  <dc:creator>Linda Richman</dc:creator>
  <cp:lastModifiedBy>Paul Keating</cp:lastModifiedBy>
  <dcterms:modified xsi:type="dcterms:W3CDTF">2024-10-02T12:23:06Z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A1DF352867CA45DCAD2CC7F5443E0751_13</vt:lpwstr>
  </property>
</Properties>
</file>